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Fonts w:cs="Liberation Serif"/>
          <w:b/>
          <w:bCs/>
          <w:sz w:val="32"/>
          <w:szCs w:val="32"/>
        </w:rPr>
        <w:t>REPUBLIKA SRPSKA</w:t>
      </w:r>
    </w:p>
    <w:p>
      <w:pPr>
        <w:pStyle w:val="Normal"/>
        <w:rPr/>
      </w:pPr>
      <w:r>
        <w:rPr>
          <w:rFonts w:cs="Liberation Serif"/>
          <w:b/>
          <w:bCs/>
          <w:sz w:val="32"/>
          <w:szCs w:val="32"/>
          <w:lang w:val="sr-RS"/>
        </w:rPr>
        <w:t>GRAD</w:t>
      </w:r>
      <w:r>
        <w:rPr>
          <w:rFonts w:cs="Liberation Serif"/>
          <w:b/>
          <w:bCs/>
          <w:sz w:val="32"/>
          <w:szCs w:val="32"/>
        </w:rPr>
        <w:t xml:space="preserve"> DERVENTA</w:t>
      </w:r>
    </w:p>
    <w:p>
      <w:pPr>
        <w:pStyle w:val="Normal"/>
        <w:pBdr>
          <w:bottom w:val="single" w:sz="8" w:space="2" w:color="000001"/>
        </w:pBdr>
        <w:rPr>
          <w:lang w:val="sr-RS"/>
        </w:rPr>
      </w:pPr>
      <w:r>
        <w:rPr>
          <w:rFonts w:cs="Liberation Serif"/>
          <w:b/>
          <w:bCs/>
          <w:sz w:val="32"/>
          <w:szCs w:val="32"/>
        </w:rPr>
        <w:t xml:space="preserve">JU </w:t>
      </w:r>
      <w:r>
        <w:rPr>
          <w:rFonts w:cs="Liberation Serif"/>
          <w:b/>
          <w:bCs/>
          <w:sz w:val="32"/>
          <w:szCs w:val="32"/>
          <w:lang w:val="sr-RS"/>
        </w:rPr>
        <w:t>„</w:t>
      </w:r>
      <w:r>
        <w:rPr>
          <w:rFonts w:cs="Liberation Serif"/>
          <w:b/>
          <w:bCs/>
          <w:sz w:val="32"/>
          <w:szCs w:val="32"/>
        </w:rPr>
        <w:t>CENTAR ZA SOCIJALNI RAD DERVENTA</w:t>
      </w:r>
      <w:r>
        <w:rPr>
          <w:rFonts w:cs="Liberation Serif"/>
          <w:b/>
          <w:bCs/>
          <w:sz w:val="32"/>
          <w:szCs w:val="32"/>
          <w:lang w:val="sr-RS"/>
        </w:rPr>
        <w:t>“</w:t>
      </w:r>
    </w:p>
    <w:p>
      <w:pPr>
        <w:pStyle w:val="Normal"/>
        <w:rPr>
          <w:sz w:val="20"/>
          <w:szCs w:val="20"/>
        </w:rPr>
      </w:pPr>
      <w:r>
        <w:rPr>
          <w:rFonts w:cs="Liberation Serif"/>
          <w:b/>
          <w:bCs/>
          <w:color w:val="000000"/>
          <w:sz w:val="20"/>
          <w:szCs w:val="20"/>
          <w:u w:val="none"/>
        </w:rPr>
        <w:t>Trive Vujića broj 6, 74400 Derventa; Telefon/faks: +387(0)53/311-080; E-mail</w:t>
      </w:r>
      <w:r>
        <w:rPr>
          <w:rFonts w:cs="Liberation Serif"/>
          <w:color w:val="000000"/>
          <w:sz w:val="20"/>
          <w:szCs w:val="20"/>
          <w:u w:val="none"/>
        </w:rPr>
        <w:t xml:space="preserve">: </w:t>
      </w:r>
      <w:r>
        <w:rPr>
          <w:rFonts w:cs="Liberation Serif"/>
          <w:b/>
          <w:bCs/>
          <w:sz w:val="20"/>
          <w:szCs w:val="20"/>
          <w:u w:val="none"/>
        </w:rPr>
        <w:t>czr_der@teol.net</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jc w:val="center"/>
        <w:rPr>
          <w:rFonts w:ascii="Times New Roman" w:hAnsi="Times New Roman" w:cs="Times New Roman"/>
          <w:b/>
          <w:b/>
          <w:sz w:val="24"/>
          <w:szCs w:val="24"/>
          <w:lang w:val="sr-RS"/>
        </w:rPr>
      </w:pPr>
      <w:r>
        <w:rPr>
          <w:rFonts w:cs="Times New Roman" w:ascii="Times New Roman" w:hAnsi="Times New Roman"/>
          <w:b/>
          <w:sz w:val="24"/>
          <w:szCs w:val="24"/>
          <w:lang w:val="sr-RS"/>
        </w:rPr>
      </w:r>
    </w:p>
    <w:p>
      <w:pPr>
        <w:pStyle w:val="NoSpacing"/>
        <w:jc w:val="center"/>
        <w:rPr>
          <w:rFonts w:ascii="Times New Roman" w:hAnsi="Times New Roman" w:cs="Times New Roman"/>
          <w:b/>
          <w:b/>
          <w:sz w:val="24"/>
          <w:szCs w:val="24"/>
          <w:lang w:val="sr-RS"/>
        </w:rPr>
      </w:pPr>
      <w:r>
        <w:rPr>
          <w:rFonts w:cs="Times New Roman" w:ascii="Times New Roman" w:hAnsi="Times New Roman"/>
          <w:b/>
          <w:sz w:val="24"/>
          <w:szCs w:val="24"/>
          <w:lang w:val="sr-RS"/>
        </w:rPr>
      </w:r>
    </w:p>
    <w:p>
      <w:pPr>
        <w:pStyle w:val="NoSpacing"/>
        <w:jc w:val="center"/>
        <w:rPr>
          <w:rFonts w:ascii="Times New Roman" w:hAnsi="Times New Roman" w:cs="Times New Roman"/>
          <w:b/>
          <w:b/>
          <w:sz w:val="24"/>
          <w:szCs w:val="24"/>
          <w:lang w:val="sr-RS"/>
        </w:rPr>
      </w:pPr>
      <w:r>
        <w:rPr>
          <w:rFonts w:cs="Times New Roman" w:ascii="Times New Roman" w:hAnsi="Times New Roman"/>
          <w:b/>
          <w:sz w:val="24"/>
          <w:szCs w:val="24"/>
          <w:lang w:val="sr-RS"/>
        </w:rPr>
      </w:r>
    </w:p>
    <w:p>
      <w:pPr>
        <w:pStyle w:val="NoSpacing"/>
        <w:jc w:val="center"/>
        <w:rPr>
          <w:rFonts w:ascii="Times New Roman" w:hAnsi="Times New Roman" w:cs="Times New Roman"/>
          <w:b/>
          <w:b/>
          <w:sz w:val="24"/>
          <w:szCs w:val="24"/>
          <w:lang w:val="sr-RS"/>
        </w:rPr>
      </w:pPr>
      <w:r>
        <w:rPr>
          <w:rFonts w:cs="Times New Roman" w:ascii="Times New Roman" w:hAnsi="Times New Roman"/>
          <w:b/>
          <w:sz w:val="24"/>
          <w:szCs w:val="24"/>
          <w:lang w:val="sr-RS"/>
        </w:rPr>
      </w:r>
    </w:p>
    <w:p>
      <w:pPr>
        <w:pStyle w:val="NoSpacing"/>
        <w:jc w:val="center"/>
        <w:rPr>
          <w:rFonts w:ascii="Times New Roman" w:hAnsi="Times New Roman" w:cs="Times New Roman"/>
          <w:b/>
          <w:b/>
          <w:sz w:val="24"/>
          <w:szCs w:val="24"/>
          <w:lang w:val="sr-RS"/>
        </w:rPr>
      </w:pPr>
      <w:r>
        <w:rPr>
          <w:rFonts w:cs="Times New Roman" w:ascii="Times New Roman" w:hAnsi="Times New Roman"/>
          <w:b/>
          <w:sz w:val="24"/>
          <w:szCs w:val="24"/>
          <w:lang w:val="sr-RS"/>
        </w:rPr>
      </w:r>
    </w:p>
    <w:p>
      <w:pPr>
        <w:pStyle w:val="NoSpacing"/>
        <w:jc w:val="center"/>
        <w:rPr>
          <w:rFonts w:ascii="Times New Roman" w:hAnsi="Times New Roman" w:cs="Times New Roman"/>
          <w:b/>
          <w:b/>
          <w:sz w:val="24"/>
          <w:szCs w:val="24"/>
          <w:lang w:val="sr-RS"/>
        </w:rPr>
      </w:pPr>
      <w:r>
        <w:rPr>
          <w:rFonts w:cs="Times New Roman" w:ascii="Times New Roman" w:hAnsi="Times New Roman"/>
          <w:b/>
          <w:sz w:val="24"/>
          <w:szCs w:val="24"/>
          <w:lang w:val="sr-RS"/>
        </w:rPr>
      </w:r>
    </w:p>
    <w:p>
      <w:pPr>
        <w:pStyle w:val="NoSpacing"/>
        <w:jc w:val="center"/>
        <w:rPr>
          <w:rFonts w:ascii="Times New Roman" w:hAnsi="Times New Roman" w:cs="Times New Roman"/>
          <w:b/>
          <w:b/>
          <w:sz w:val="24"/>
          <w:szCs w:val="24"/>
          <w:lang w:val="sr-RS"/>
        </w:rPr>
      </w:pPr>
      <w:r>
        <w:rPr>
          <w:rFonts w:cs="Times New Roman" w:ascii="Times New Roman" w:hAnsi="Times New Roman"/>
          <w:b/>
          <w:sz w:val="24"/>
          <w:szCs w:val="24"/>
          <w:lang w:val="sr-RS"/>
        </w:rPr>
      </w:r>
    </w:p>
    <w:p>
      <w:pPr>
        <w:pStyle w:val="NoSpacing"/>
        <w:jc w:val="center"/>
        <w:rPr>
          <w:rFonts w:ascii="Times New Roman" w:hAnsi="Times New Roman" w:cs="Times New Roman"/>
          <w:b/>
          <w:b/>
          <w:sz w:val="24"/>
          <w:szCs w:val="24"/>
          <w:lang w:val="sr-RS"/>
        </w:rPr>
      </w:pPr>
      <w:r>
        <w:rPr>
          <w:rFonts w:cs="Times New Roman" w:ascii="Times New Roman" w:hAnsi="Times New Roman"/>
          <w:b/>
          <w:sz w:val="24"/>
          <w:szCs w:val="24"/>
          <w:lang w:val="sr-RS"/>
        </w:rPr>
      </w:r>
    </w:p>
    <w:p>
      <w:pPr>
        <w:pStyle w:val="NoSpacing"/>
        <w:jc w:val="center"/>
        <w:rPr>
          <w:rFonts w:ascii="Times New Roman" w:hAnsi="Times New Roman" w:cs="Times New Roman"/>
          <w:b/>
          <w:b/>
          <w:sz w:val="24"/>
          <w:szCs w:val="24"/>
          <w:lang w:val="sr-RS"/>
        </w:rPr>
      </w:pPr>
      <w:r>
        <w:rPr>
          <w:rFonts w:cs="Times New Roman" w:ascii="Times New Roman" w:hAnsi="Times New Roman"/>
          <w:b/>
          <w:sz w:val="24"/>
          <w:szCs w:val="24"/>
          <w:lang w:val="sr-RS"/>
        </w:rPr>
      </w:r>
    </w:p>
    <w:p>
      <w:pPr>
        <w:pStyle w:val="NoSpacing"/>
        <w:jc w:val="center"/>
        <w:rPr>
          <w:rFonts w:ascii="Times New Roman" w:hAnsi="Times New Roman" w:cs="Times New Roman"/>
          <w:b/>
          <w:b/>
          <w:sz w:val="24"/>
          <w:szCs w:val="24"/>
          <w:lang w:val="sr-RS"/>
        </w:rPr>
      </w:pPr>
      <w:r>
        <w:rPr>
          <w:rFonts w:cs="Times New Roman" w:ascii="Times New Roman" w:hAnsi="Times New Roman"/>
          <w:b/>
          <w:sz w:val="24"/>
          <w:szCs w:val="24"/>
          <w:lang w:val="sr-RS"/>
        </w:rPr>
      </w:r>
    </w:p>
    <w:p>
      <w:pPr>
        <w:pStyle w:val="NoSpacing"/>
        <w:jc w:val="center"/>
        <w:rPr>
          <w:rFonts w:ascii="Times New Roman" w:hAnsi="Times New Roman" w:cs="Times New Roman"/>
          <w:b/>
          <w:b/>
          <w:sz w:val="24"/>
          <w:szCs w:val="24"/>
          <w:lang w:val="sr-RS"/>
        </w:rPr>
      </w:pPr>
      <w:r>
        <w:rPr>
          <w:rFonts w:cs="Times New Roman" w:ascii="Times New Roman" w:hAnsi="Times New Roman"/>
          <w:b/>
          <w:sz w:val="24"/>
          <w:szCs w:val="24"/>
          <w:lang w:val="sr-RS"/>
        </w:rPr>
        <w:t>IZVJEŠTAJ O RADU</w:t>
      </w:r>
      <w:r>
        <w:rPr>
          <w:rFonts w:cs="Times New Roman" w:ascii="Times New Roman" w:hAnsi="Times New Roman"/>
          <w:b/>
          <w:sz w:val="24"/>
          <w:szCs w:val="24"/>
          <w:lang w:val="sr-Latn-RS"/>
        </w:rPr>
        <w:t xml:space="preserve"> </w:t>
      </w:r>
      <w:r>
        <w:rPr>
          <w:rFonts w:cs="Times New Roman" w:ascii="Times New Roman" w:hAnsi="Times New Roman"/>
          <w:b/>
          <w:sz w:val="24"/>
          <w:szCs w:val="24"/>
          <w:lang w:val="sr-RS"/>
        </w:rPr>
        <w:t>PRVOSTEPENE STRUČNE KOMISIJE ZA UTVRĐIVANJE SPOSOBNOSTI LICA U POSTUPKU OSTVARIVANJA PRAVA IZ SOCIJALNE ZAŠTITE I UTVRĐIVANJE FUNKCIONALNOG STANJA KORISNIKA</w:t>
      </w:r>
    </w:p>
    <w:p>
      <w:pPr>
        <w:pStyle w:val="NoSpacing"/>
        <w:jc w:val="center"/>
        <w:rPr>
          <w:rFonts w:ascii="Times New Roman" w:hAnsi="Times New Roman" w:cs="Times New Roman"/>
          <w:b/>
          <w:b/>
          <w:sz w:val="24"/>
          <w:szCs w:val="24"/>
        </w:rPr>
      </w:pPr>
      <w:r>
        <w:rPr>
          <w:rFonts w:cs="Times New Roman" w:ascii="Times New Roman" w:hAnsi="Times New Roman"/>
          <w:b/>
          <w:sz w:val="24"/>
          <w:szCs w:val="24"/>
        </w:rPr>
        <w:t>( od 01.01.2020. do 3</w:t>
      </w:r>
      <w:r>
        <w:rPr>
          <w:rFonts w:cs="Times New Roman" w:ascii="Times New Roman" w:hAnsi="Times New Roman"/>
          <w:b/>
          <w:sz w:val="24"/>
          <w:szCs w:val="24"/>
          <w:lang w:val="sr-RS"/>
        </w:rPr>
        <w:t>1</w:t>
      </w:r>
      <w:r>
        <w:rPr>
          <w:rFonts w:cs="Times New Roman" w:ascii="Times New Roman" w:hAnsi="Times New Roman"/>
          <w:b/>
          <w:sz w:val="24"/>
          <w:szCs w:val="24"/>
        </w:rPr>
        <w:t>.12.2020. godine)</w:t>
      </w:r>
    </w:p>
    <w:p>
      <w:pPr>
        <w:pStyle w:val="NoSpacing"/>
        <w:rPr>
          <w:rFonts w:ascii="Times New Roman" w:hAnsi="Times New Roman" w:cs="Times New Roman"/>
          <w:sz w:val="24"/>
          <w:szCs w:val="24"/>
        </w:rPr>
      </w:pPr>
      <w:r>
        <w:rPr>
          <w:rFonts w:cs="Times New Roman" w:ascii="Times New Roman" w:hAnsi="Times New Roman"/>
          <w:sz w:val="24"/>
          <w:szCs w:val="24"/>
        </w:rPr>
        <w:b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jc w:val="center"/>
        <w:rPr/>
      </w:pPr>
      <w:r>
        <w:rPr>
          <w:rFonts w:cs="Times New Roman" w:ascii="Times New Roman" w:hAnsi="Times New Roman"/>
          <w:sz w:val="24"/>
          <w:szCs w:val="24"/>
          <w:lang w:val="sr-Latn-BA"/>
        </w:rPr>
        <w:t>OKTOBAR</w:t>
      </w:r>
      <w:r>
        <w:rPr>
          <w:rFonts w:cs="Times New Roman" w:ascii="Times New Roman" w:hAnsi="Times New Roman"/>
          <w:sz w:val="24"/>
          <w:szCs w:val="24"/>
          <w:lang w:val="sr-RS"/>
        </w:rPr>
        <w:t xml:space="preserve"> </w:t>
      </w:r>
      <w:r>
        <w:rPr>
          <w:rFonts w:cs="Times New Roman" w:ascii="Times New Roman" w:hAnsi="Times New Roman"/>
          <w:sz w:val="24"/>
          <w:szCs w:val="24"/>
        </w:rPr>
        <w:t xml:space="preserve"> 2021. GODINE, DERVENTA</w:t>
      </w:r>
    </w:p>
    <w:p>
      <w:pPr>
        <w:pStyle w:val="NoSpacing"/>
        <w:jc w:val="center"/>
        <w:rPr>
          <w:rFonts w:ascii="Times New Roman" w:hAnsi="Times New Roman" w:cs="Times New Roman"/>
          <w:b/>
          <w:b/>
          <w:sz w:val="24"/>
          <w:szCs w:val="24"/>
        </w:rPr>
      </w:pPr>
      <w:r>
        <w:rPr>
          <w:rFonts w:cs="Times New Roman" w:ascii="Times New Roman" w:hAnsi="Times New Roman"/>
          <w:b/>
          <w:sz w:val="24"/>
          <w:szCs w:val="24"/>
        </w:rPr>
        <w:t>IZVJEŠTAJ O RADU</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br/>
      </w:r>
      <w:r>
        <w:rPr>
          <w:rFonts w:cs="Times New Roman" w:ascii="Times New Roman" w:hAnsi="Times New Roman"/>
          <w:sz w:val="24"/>
          <w:szCs w:val="24"/>
          <w:lang w:val="sr-RS"/>
        </w:rPr>
        <w:t xml:space="preserve">            </w:t>
      </w:r>
      <w:r>
        <w:rPr>
          <w:rFonts w:cs="Times New Roman" w:ascii="Times New Roman" w:hAnsi="Times New Roman"/>
          <w:sz w:val="24"/>
          <w:szCs w:val="24"/>
        </w:rPr>
        <w:t xml:space="preserve">U JU „Centar za socijalni rad Derventa“ </w:t>
      </w:r>
      <w:r>
        <w:rPr>
          <w:rFonts w:cs="Times New Roman" w:ascii="Times New Roman" w:hAnsi="Times New Roman"/>
          <w:sz w:val="24"/>
          <w:szCs w:val="24"/>
          <w:lang w:val="sr-RS"/>
        </w:rPr>
        <w:t xml:space="preserve">psiholog raspoređen na radno mjesto samostalni stručni saradnik za socijalno psihološku podršku maloljetnicima i licima izloženim nasilju, takođe je i </w:t>
      </w:r>
      <w:r>
        <w:rPr>
          <w:rFonts w:cs="Times New Roman" w:ascii="Times New Roman" w:hAnsi="Times New Roman"/>
          <w:sz w:val="24"/>
          <w:szCs w:val="24"/>
        </w:rPr>
        <w:t>koordinator i član Prvostepene stručne komisije za ocjenjivanje sposobnosti lica za ostvarivanje prava iz socijalne zaštite -dodatak na pomoć i njegu drugog lica ;</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720"/>
        <w:jc w:val="center"/>
        <w:rPr>
          <w:rFonts w:ascii="Times New Roman" w:hAnsi="Times New Roman" w:cs="Times New Roman"/>
          <w:sz w:val="24"/>
          <w:szCs w:val="24"/>
        </w:rPr>
      </w:pPr>
      <w:r>
        <w:rPr>
          <w:rFonts w:cs="Times New Roman" w:ascii="Times New Roman" w:hAnsi="Times New Roman"/>
          <w:b/>
          <w:bCs/>
          <w:sz w:val="24"/>
          <w:szCs w:val="24"/>
        </w:rPr>
        <w:t>1. PRVOSTEPENA STRUČNA KOMISIJA ZA OCJENJIVANJE SPOSOBNOSTI LICA ZA OSTVARIVANJE PRAVA IZ SOCIJALNE ZAŠTITE</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Zakonom o socijalnoj zaštiti («Službeni glasnik Republike Srpske», broj 37/12, 90/16</w:t>
      </w:r>
      <w:r>
        <w:rPr>
          <w:rFonts w:cs="Times New Roman" w:ascii="Times New Roman" w:hAnsi="Times New Roman"/>
          <w:sz w:val="24"/>
          <w:szCs w:val="24"/>
          <w:lang w:val="sr-RS"/>
        </w:rPr>
        <w:t>, 94/19</w:t>
      </w:r>
      <w:r>
        <w:rPr>
          <w:rFonts w:cs="Times New Roman" w:ascii="Times New Roman" w:hAnsi="Times New Roman"/>
          <w:sz w:val="24"/>
          <w:szCs w:val="24"/>
        </w:rPr>
        <w:t xml:space="preserve"> i</w:t>
      </w:r>
      <w:r>
        <w:rPr>
          <w:rFonts w:cs="Times New Roman" w:ascii="Times New Roman" w:hAnsi="Times New Roman"/>
          <w:sz w:val="24"/>
          <w:szCs w:val="24"/>
          <w:lang w:val="sr-RS"/>
        </w:rPr>
        <w:t xml:space="preserve"> 42/20</w:t>
      </w:r>
      <w:r>
        <w:rPr>
          <w:rFonts w:cs="Times New Roman" w:ascii="Times New Roman" w:hAnsi="Times New Roman"/>
          <w:sz w:val="24"/>
          <w:szCs w:val="24"/>
        </w:rPr>
        <w:t xml:space="preserve"> ), uređuju se prava iz oblasti socijalne zaštite kao i druga pitanja od značaja za ostvarivanje socijalne zaštite građana. Ovim zakonom propisano je da pravo za pomoć i njegu drugog lica ima lice starije od tri godine kojem je zbog tjelesnih, mentalnih , čulnih poremećaja, izraženih promjena u zdravstvenom stanju neophodna stalna i njega drugog pod uslovom da ovo pravo ne može ostvariti po drugom osnovu i ne koristi pravo na smještaj u ustanovi socijalne zaštite. Ovo pravo mogu ostvariti lica koja su potpuno ili djelimično zavisna od pomoći i njege drugog lica u zadovoljavanju osnovnih životnih i fizioloških potreba. Dodatak za pomoć i njegu drugog lica priznaje se na osnovu nalaza i mišljenja stručnih komisija: </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 za djecu do 18 godina – komisija za procjenu potreba i usmjeravanje djece i omladine sa smetnjama u razvoju;</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 za punoljetna lica – komisija za utvrđivanje sposobnosti lica u postupku ostvarivanja prava iz socijalne zaštite.</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lang w:val="sr-RS"/>
        </w:rPr>
        <w:t>P</w:t>
      </w:r>
      <w:r>
        <w:rPr>
          <w:rFonts w:cs="Times New Roman" w:ascii="Times New Roman" w:hAnsi="Times New Roman"/>
          <w:sz w:val="24"/>
          <w:szCs w:val="24"/>
        </w:rPr>
        <w:t>ravilnikom o utvrđivanju sposobnosti lica u postupku ostvarivanja prava iz socijalne zaštite i utvrđivanju funkcionalnog stanja korisnika koji je donio Ministar zdravlja i socijalne zaštite u novembru 2012. godine propisani su uslovi za ocjenjivanje sposobnosti i funkcionalnog stanja punoljetnih lica u postupku ostvarivanja prava iz socijalne zaštite, sastav, uslovi za formiranje i način rada prvostepene komisije.</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br/>
        <w:t>Pomenutim pravilnikom je predviđeno da Prvostepenu stručnu komisiju čine:</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br/>
        <w:t>Tri stalna člana prvostepene stručne komisije i to:</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a)specijalista porodične medicine,</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b) diplomirani psiholog i</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v) diplomirani defektolog, odnosno specijalni edukator i rehabilitator.</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br/>
        <w:t>Stručna komisija može, po potrebi, imati još dva povremena člana:</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a) specijalista odgovarajuće grane medicine u zavisnosti od vrste smetnje,</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b) diplomirani socijalni radnik.</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br/>
      </w:r>
      <w:r>
        <w:rPr>
          <w:rFonts w:cs="Times New Roman" w:ascii="Times New Roman" w:hAnsi="Times New Roman"/>
          <w:sz w:val="24"/>
          <w:szCs w:val="24"/>
          <w:lang w:val="sr-RS"/>
        </w:rPr>
        <w:t xml:space="preserve">           </w:t>
      </w:r>
      <w:r>
        <w:rPr>
          <w:rFonts w:cs="Times New Roman" w:ascii="Times New Roman" w:hAnsi="Times New Roman"/>
          <w:sz w:val="24"/>
          <w:szCs w:val="24"/>
        </w:rPr>
        <w:t>Prvostepenu stručnu komisiju imenuje jedinica lokalne samouprave. Članovi prvostepene stručne komisije moraju biti lica sa najmanje tri godine radnog iskustva u struci. Aktom o imenovanju prvostepene stručne komisije utvrđuje se njen sastav, način rada, troškovi rada i obavljanje administrativnih poslova. Prvostepena stručna komisija o svom radu obavještava organ jedinice lokalne samouprave i Ministarstvo najmanje jednom godišnje.</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Poslove koordinacije stručnim komisijama vrše koordinatori stručnih komisija. Pod poslovima koordinacije podrazumijevaju se sljedeći poslovi: administrativni, stručni i poslovi koordinacije između članova stručne komisije i lica u postupku procjene sposobnosti i utvrđivanja funkcionalnog stanja. Koordinator prvostepene stručne komisije je lice zaposleno u centru za socijalni rad ili u službi socijalne zaštite.</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Radom stručne komisije rukovodi predsjednik. Stručna komisija daje nalaz i mišljenje na sjednici samo ako radi u punom sastavu. Svaki član stručne komisije je dužan tokom utvrđivanja sposobnosti i funkcionalnog stanja da se pridržava propisa iz svoje oblasti, kao i standarda i pravila struke. Stručna komisija je dužna da tokom procjene koristi i Bartelov test. Bartelov test je instrument za procjenu aktivnosti svakodnevnog života, odnosno Bartelov indeks određuje potpunu ili djelimičnu zavisnost od pomoći i njege drugog lica u aktivnostima svakodnevnog života ili nepostojanje zavisnosti od pomoći i njege drugog lica.</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br/>
      </w:r>
      <w:r>
        <w:rPr>
          <w:rFonts w:cs="Times New Roman" w:ascii="Times New Roman" w:hAnsi="Times New Roman"/>
          <w:sz w:val="24"/>
          <w:szCs w:val="24"/>
          <w:lang w:val="sr-RS"/>
        </w:rPr>
        <w:t xml:space="preserve">          </w:t>
      </w:r>
      <w:r>
        <w:rPr>
          <w:rFonts w:cs="Times New Roman" w:ascii="Times New Roman" w:hAnsi="Times New Roman"/>
          <w:sz w:val="24"/>
          <w:szCs w:val="24"/>
        </w:rPr>
        <w:t>Koordinator prvostepene stručne komisije prikuplja dokumentaciju koja je neophodna za vođenje postupka u svrhu utvrđivanja sposobnosti i funkcionalnog stanja lica, prikupljenu dokumentaciju dostavlja predsjedniku prvostepene stručne komisije, prati rad stručne komisije, vodi zapisnik sa održanih sjednica te obavlja i druge poslove prema potrebama stručne komisije.</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Rješenjem Načelnika opštine Derventa broj: 02-111-10/20 od 04.02.2020. godine za stalne članove prvostepene komisije su imenovani dr Rodoljub Krstović, specijalista porodične medicine, Slađana Đurić, diplomirani psiholog, Vladan Popović, diplomirani defektolog. Za koordinatora stručne komisije imenovana je Slađana Đurić, dipl. </w:t>
      </w:r>
      <w:r>
        <w:rPr>
          <w:rFonts w:cs="Times New Roman" w:ascii="Times New Roman" w:hAnsi="Times New Roman"/>
          <w:sz w:val="24"/>
          <w:szCs w:val="24"/>
          <w:lang w:val="sr-RS"/>
        </w:rPr>
        <w:t>p</w:t>
      </w:r>
      <w:r>
        <w:rPr>
          <w:rFonts w:cs="Times New Roman" w:ascii="Times New Roman" w:hAnsi="Times New Roman"/>
          <w:sz w:val="24"/>
          <w:szCs w:val="24"/>
        </w:rPr>
        <w:t xml:space="preserve">siholog. Kao povremeni članovi stručne komisije imenovani su dr </w:t>
      </w:r>
      <w:r>
        <w:rPr>
          <w:rFonts w:cs="Times New Roman" w:ascii="Times New Roman" w:hAnsi="Times New Roman"/>
          <w:sz w:val="24"/>
          <w:szCs w:val="24"/>
          <w:lang w:val="sr-RS"/>
        </w:rPr>
        <w:t>Igor Đujić</w:t>
      </w:r>
      <w:r>
        <w:rPr>
          <w:rFonts w:cs="Times New Roman" w:ascii="Times New Roman" w:hAnsi="Times New Roman"/>
          <w:sz w:val="24"/>
          <w:szCs w:val="24"/>
        </w:rPr>
        <w:t xml:space="preserve"> psihijatar i Maja Čelar</w:t>
      </w:r>
      <w:r>
        <w:rPr>
          <w:rFonts w:cs="Times New Roman" w:ascii="Times New Roman" w:hAnsi="Times New Roman"/>
          <w:sz w:val="24"/>
          <w:szCs w:val="24"/>
          <w:lang w:val="sr-RS"/>
        </w:rPr>
        <w:t>-Drakulić</w:t>
      </w:r>
      <w:r>
        <w:rPr>
          <w:rFonts w:cs="Times New Roman" w:ascii="Times New Roman" w:hAnsi="Times New Roman"/>
          <w:sz w:val="24"/>
          <w:szCs w:val="24"/>
        </w:rPr>
        <w:t>, dipl. socijalni radnik.</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Informacija o radu komisije obuhvata period od 01.01.2020. godine do 31.12.2020. godine.</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U izvještajnom periodu održano je 15 sjednica komisije na kojima je obrađeno </w:t>
      </w:r>
      <w:r>
        <w:rPr>
          <w:rFonts w:cs="Times New Roman" w:ascii="Times New Roman" w:hAnsi="Times New Roman"/>
          <w:sz w:val="24"/>
          <w:szCs w:val="24"/>
          <w:lang w:val="sr-RS"/>
        </w:rPr>
        <w:t>179</w:t>
      </w:r>
      <w:r>
        <w:rPr>
          <w:rFonts w:cs="Times New Roman" w:ascii="Times New Roman" w:hAnsi="Times New Roman"/>
          <w:sz w:val="24"/>
          <w:szCs w:val="24"/>
        </w:rPr>
        <w:t xml:space="preserve"> lica. Od ukupnog broja lica u 161 slučaja su obrađivani zahtjevi podneseni za ostvarivanje prava na dodatak za pomoć i njegu drugog lica, a u 18 slučaja su obrađivana lica po zahtjevu za ostvarivanje prava na novčanu pomoć. </w:t>
      </w:r>
      <w:r>
        <w:rPr>
          <w:rFonts w:cs="Times New Roman" w:ascii="Times New Roman" w:hAnsi="Times New Roman"/>
          <w:sz w:val="24"/>
          <w:szCs w:val="24"/>
          <w:lang w:val="sr-RS"/>
        </w:rPr>
        <w:t xml:space="preserve">Zahtjevi koji se odnose na dodatak za pomoć i njegu drugog lica podrazumjevaju ukupan broj novih zahtjeva, te zahtjeva korisnika koji već koriste dodatak na pomoć i njegu drugog lica ali im je pravo bilo ograničeno, pa su ponovo išli na procjenu, nakon čega im je pravo produženo ili prekinuto. </w:t>
      </w:r>
      <w:r>
        <w:rPr>
          <w:rFonts w:cs="Times New Roman" w:ascii="Times New Roman" w:hAnsi="Times New Roman"/>
          <w:sz w:val="24"/>
          <w:szCs w:val="24"/>
        </w:rPr>
        <w:t xml:space="preserve">Odluke komisije donesene po zahtjevu za ostvarivanje prava na dodatak za pomoć i njegu drugog lica održane na tim sjednicama vidljive su u tabeli broj. 1 </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rFonts w:ascii="Times New Roman" w:hAnsi="Times New Roman" w:cs="Times New Roman"/>
          <w:sz w:val="24"/>
          <w:szCs w:val="24"/>
        </w:rPr>
      </w:pPr>
      <w:r>
        <w:rPr>
          <w:rFonts w:cs="Times New Roman" w:ascii="Times New Roman" w:hAnsi="Times New Roman"/>
          <w:sz w:val="24"/>
          <w:szCs w:val="24"/>
        </w:rPr>
        <w:t>Tabela br. 1</w:t>
      </w:r>
    </w:p>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5220" w:type="dxa"/>
        <w:jc w:val="left"/>
        <w:tblInd w:w="-3"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7" w:type="dxa"/>
          <w:left w:w="49" w:type="dxa"/>
          <w:bottom w:w="57" w:type="dxa"/>
          <w:right w:w="57" w:type="dxa"/>
        </w:tblCellMar>
        <w:tblLook w:firstRow="1" w:noVBand="1" w:lastRow="0" w:firstColumn="1" w:lastColumn="0" w:noHBand="0" w:val="04a0"/>
      </w:tblPr>
      <w:tblGrid>
        <w:gridCol w:w="3474"/>
        <w:gridCol w:w="1745"/>
      </w:tblGrid>
      <w:tr>
        <w:trPr/>
        <w:tc>
          <w:tcPr>
            <w:tcW w:w="521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9" w:type="dxa"/>
            </w:tcMar>
          </w:tcPr>
          <w:p>
            <w:pPr>
              <w:pStyle w:val="NoSpacing"/>
              <w:spacing w:lineRule="auto" w:line="254"/>
              <w:ind w:firstLine="720"/>
              <w:jc w:val="both"/>
              <w:rPr>
                <w:rFonts w:ascii="Times New Roman" w:hAnsi="Times New Roman" w:cs="Times New Roman"/>
                <w:sz w:val="24"/>
                <w:szCs w:val="24"/>
              </w:rPr>
            </w:pPr>
            <w:r>
              <w:rPr>
                <w:rFonts w:cs="Times New Roman" w:ascii="Times New Roman" w:hAnsi="Times New Roman"/>
                <w:b/>
                <w:bCs/>
                <w:i/>
                <w:iCs/>
                <w:sz w:val="24"/>
                <w:szCs w:val="24"/>
              </w:rPr>
              <w:t>Zahtjev na dodatak za pomoć i njegu</w:t>
            </w:r>
          </w:p>
        </w:tc>
      </w:tr>
      <w:tr>
        <w:trPr/>
        <w:tc>
          <w:tcPr>
            <w:tcW w:w="3474" w:type="dxa"/>
            <w:tcBorders>
              <w:left w:val="single" w:sz="6" w:space="0" w:color="000001"/>
              <w:bottom w:val="single" w:sz="6" w:space="0" w:color="000001"/>
              <w:insideH w:val="single" w:sz="6" w:space="0" w:color="000001"/>
            </w:tcBorders>
            <w:shd w:fill="auto" w:val="clear"/>
            <w:tcMar>
              <w:top w:w="0" w:type="dxa"/>
              <w:left w:w="49" w:type="dxa"/>
              <w:right w:w="0" w:type="dxa"/>
            </w:tcMar>
          </w:tcPr>
          <w:p>
            <w:pPr>
              <w:pStyle w:val="NoSpacing"/>
              <w:spacing w:lineRule="auto" w:line="254"/>
              <w:ind w:firstLine="720"/>
              <w:rPr>
                <w:rFonts w:ascii="Times New Roman" w:hAnsi="Times New Roman" w:cs="Times New Roman"/>
                <w:sz w:val="24"/>
                <w:szCs w:val="24"/>
              </w:rPr>
            </w:pPr>
            <w:r>
              <w:rPr>
                <w:rFonts w:cs="Times New Roman" w:ascii="Times New Roman" w:hAnsi="Times New Roman"/>
                <w:i/>
                <w:iCs/>
                <w:sz w:val="24"/>
                <w:szCs w:val="24"/>
              </w:rPr>
              <w:t>Sposoban za samostalan život-nije potrebna pomoć i njega drugog lica</w:t>
            </w:r>
          </w:p>
        </w:tc>
        <w:tc>
          <w:tcPr>
            <w:tcW w:w="1745"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top w:w="0" w:type="dxa"/>
              <w:left w:w="49" w:type="dxa"/>
            </w:tcMar>
          </w:tcPr>
          <w:p>
            <w:pPr>
              <w:pStyle w:val="NoSpacing"/>
              <w:spacing w:lineRule="auto" w:line="254"/>
              <w:ind w:firstLine="720"/>
              <w:jc w:val="both"/>
              <w:rPr>
                <w:rFonts w:ascii="Times New Roman" w:hAnsi="Times New Roman" w:cs="Times New Roman"/>
                <w:sz w:val="24"/>
                <w:szCs w:val="24"/>
              </w:rPr>
            </w:pPr>
            <w:r>
              <w:rPr>
                <w:rFonts w:cs="Times New Roman" w:ascii="Times New Roman" w:hAnsi="Times New Roman"/>
                <w:sz w:val="24"/>
                <w:szCs w:val="24"/>
              </w:rPr>
              <w:t>66</w:t>
            </w:r>
          </w:p>
        </w:tc>
      </w:tr>
      <w:tr>
        <w:trPr/>
        <w:tc>
          <w:tcPr>
            <w:tcW w:w="3474" w:type="dxa"/>
            <w:tcBorders>
              <w:left w:val="single" w:sz="6" w:space="0" w:color="000001"/>
              <w:bottom w:val="single" w:sz="6" w:space="0" w:color="000001"/>
              <w:insideH w:val="single" w:sz="6" w:space="0" w:color="000001"/>
            </w:tcBorders>
            <w:shd w:fill="auto" w:val="clear"/>
            <w:tcMar>
              <w:top w:w="0" w:type="dxa"/>
              <w:left w:w="49" w:type="dxa"/>
              <w:right w:w="0" w:type="dxa"/>
            </w:tcMar>
          </w:tcPr>
          <w:p>
            <w:pPr>
              <w:pStyle w:val="NoSpacing"/>
              <w:spacing w:lineRule="auto" w:line="254"/>
              <w:ind w:firstLine="720"/>
              <w:rPr>
                <w:rFonts w:ascii="Times New Roman" w:hAnsi="Times New Roman" w:cs="Times New Roman"/>
                <w:sz w:val="24"/>
                <w:szCs w:val="24"/>
              </w:rPr>
            </w:pPr>
            <w:r>
              <w:rPr>
                <w:rFonts w:cs="Times New Roman" w:ascii="Times New Roman" w:hAnsi="Times New Roman"/>
                <w:i/>
                <w:iCs/>
                <w:sz w:val="24"/>
                <w:szCs w:val="24"/>
              </w:rPr>
              <w:t>Nesposoban za samostalan život</w:t>
            </w:r>
          </w:p>
        </w:tc>
        <w:tc>
          <w:tcPr>
            <w:tcW w:w="1745"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top w:w="0" w:type="dxa"/>
              <w:left w:w="49" w:type="dxa"/>
            </w:tcMar>
          </w:tcPr>
          <w:p>
            <w:pPr>
              <w:pStyle w:val="NoSpacing"/>
              <w:spacing w:lineRule="auto" w:line="254"/>
              <w:ind w:firstLine="720"/>
              <w:jc w:val="both"/>
              <w:rPr>
                <w:rFonts w:ascii="Times New Roman" w:hAnsi="Times New Roman" w:cs="Times New Roman"/>
                <w:sz w:val="24"/>
                <w:szCs w:val="24"/>
              </w:rPr>
            </w:pPr>
            <w:r>
              <w:rPr>
                <w:rFonts w:cs="Times New Roman" w:ascii="Times New Roman" w:hAnsi="Times New Roman"/>
                <w:sz w:val="24"/>
                <w:szCs w:val="24"/>
              </w:rPr>
              <w:t>113</w:t>
            </w:r>
          </w:p>
        </w:tc>
      </w:tr>
      <w:tr>
        <w:trPr/>
        <w:tc>
          <w:tcPr>
            <w:tcW w:w="3474" w:type="dxa"/>
            <w:tcBorders>
              <w:left w:val="single" w:sz="6" w:space="0" w:color="000001"/>
              <w:bottom w:val="single" w:sz="6" w:space="0" w:color="000001"/>
              <w:insideH w:val="single" w:sz="6" w:space="0" w:color="000001"/>
            </w:tcBorders>
            <w:shd w:fill="auto" w:val="clear"/>
            <w:tcMar>
              <w:top w:w="0" w:type="dxa"/>
              <w:left w:w="49" w:type="dxa"/>
              <w:right w:w="0" w:type="dxa"/>
            </w:tcMar>
          </w:tcPr>
          <w:p>
            <w:pPr>
              <w:pStyle w:val="NoSpacing"/>
              <w:spacing w:lineRule="auto" w:line="254"/>
              <w:ind w:firstLine="720"/>
              <w:rPr>
                <w:rFonts w:ascii="Times New Roman" w:hAnsi="Times New Roman" w:cs="Times New Roman"/>
                <w:sz w:val="24"/>
                <w:szCs w:val="24"/>
              </w:rPr>
            </w:pPr>
            <w:r>
              <w:rPr>
                <w:rFonts w:cs="Times New Roman" w:ascii="Times New Roman" w:hAnsi="Times New Roman"/>
                <w:i/>
                <w:iCs/>
                <w:sz w:val="24"/>
                <w:szCs w:val="24"/>
                <w:lang w:val="sr-RS"/>
              </w:rPr>
              <w:t xml:space="preserve">         </w:t>
            </w:r>
            <w:r>
              <w:rPr>
                <w:rFonts w:cs="Times New Roman" w:ascii="Times New Roman" w:hAnsi="Times New Roman"/>
                <w:i/>
                <w:iCs/>
                <w:sz w:val="24"/>
                <w:szCs w:val="24"/>
              </w:rPr>
              <w:t>UKUPNO</w:t>
            </w:r>
          </w:p>
        </w:tc>
        <w:tc>
          <w:tcPr>
            <w:tcW w:w="1745"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top w:w="0" w:type="dxa"/>
              <w:left w:w="49" w:type="dxa"/>
            </w:tcMar>
          </w:tcPr>
          <w:p>
            <w:pPr>
              <w:pStyle w:val="NoSpacing"/>
              <w:spacing w:lineRule="auto" w:line="254"/>
              <w:ind w:firstLine="720"/>
              <w:jc w:val="both"/>
              <w:rPr>
                <w:rFonts w:ascii="Times New Roman" w:hAnsi="Times New Roman" w:cs="Times New Roman"/>
                <w:sz w:val="24"/>
                <w:szCs w:val="24"/>
              </w:rPr>
            </w:pPr>
            <w:r>
              <w:rPr>
                <w:rFonts w:cs="Times New Roman" w:ascii="Times New Roman" w:hAnsi="Times New Roman"/>
                <w:sz w:val="24"/>
                <w:szCs w:val="24"/>
              </w:rPr>
              <w:t>179</w:t>
            </w:r>
          </w:p>
        </w:tc>
      </w:tr>
    </w:tbl>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 xml:space="preserve">       </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 xml:space="preserve">Zakonom o socijalnoj zaštiti u članu 34. predviđeno je da će se visina dodatka za pomoć i njegu drugog lica obračunati u procentu od prosječne neto plate ostvarene u prethodnoj godini i to 20% od osnovice za lice koje cjelodnevno i u potpunosti zavisi od drugog lica u zadovoljavanju osnovnih i fizioloških potreba i koje nije u mogućnosti da uz upotrebu bilo kog pomagala samo zadovolji te potrebe i 10% od osnovice za lice kojem je neophodna djelimična pomoć drugog lica u zadovoljavanju osnovnih i fizioloških potreba. </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U tabeli 2. prikazane su dvije grupe korisnika u zavisnosti da li su u potpunosti ili djelimično zavisni od pomoći drugog lica.</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br/>
        <w:t>Tabela br. 2</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r>
    </w:p>
    <w:tbl>
      <w:tblPr>
        <w:tblW w:w="5100" w:type="dxa"/>
        <w:jc w:val="left"/>
        <w:tblInd w:w="-3"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7" w:type="dxa"/>
          <w:left w:w="49" w:type="dxa"/>
          <w:bottom w:w="57" w:type="dxa"/>
          <w:right w:w="57" w:type="dxa"/>
        </w:tblCellMar>
        <w:tblLook w:firstRow="1" w:noVBand="1" w:lastRow="0" w:firstColumn="1" w:lastColumn="0" w:noHBand="0" w:val="04a0"/>
      </w:tblPr>
      <w:tblGrid>
        <w:gridCol w:w="3306"/>
        <w:gridCol w:w="1793"/>
      </w:tblGrid>
      <w:tr>
        <w:trPr>
          <w:trHeight w:val="23" w:hRule="exact"/>
        </w:trPr>
        <w:tc>
          <w:tcPr>
            <w:tcW w:w="509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9" w:type="dxa"/>
            </w:tcMar>
          </w:tcPr>
          <w:p>
            <w:pPr>
              <w:pStyle w:val="Normal"/>
              <w:rPr>
                <w:rFonts w:ascii="Times New Roman" w:hAnsi="Times New Roman" w:cs="Times New Roman"/>
              </w:rPr>
            </w:pPr>
            <w:r>
              <w:rPr>
                <w:rFonts w:cs="Times New Roman" w:ascii="Times New Roman" w:hAnsi="Times New Roman"/>
              </w:rPr>
            </w:r>
          </w:p>
        </w:tc>
      </w:tr>
      <w:tr>
        <w:trPr/>
        <w:tc>
          <w:tcPr>
            <w:tcW w:w="3306" w:type="dxa"/>
            <w:tcBorders>
              <w:left w:val="single" w:sz="6" w:space="0" w:color="000001"/>
              <w:bottom w:val="single" w:sz="6" w:space="0" w:color="000001"/>
              <w:insideH w:val="single" w:sz="6" w:space="0" w:color="000001"/>
            </w:tcBorders>
            <w:shd w:fill="auto" w:val="clear"/>
            <w:tcMar>
              <w:top w:w="0" w:type="dxa"/>
              <w:left w:w="49" w:type="dxa"/>
              <w:right w:w="0" w:type="dxa"/>
            </w:tcMar>
          </w:tcPr>
          <w:p>
            <w:pPr>
              <w:pStyle w:val="NoSpacing"/>
              <w:spacing w:lineRule="auto" w:line="254"/>
              <w:jc w:val="both"/>
              <w:rPr>
                <w:rFonts w:ascii="Times New Roman" w:hAnsi="Times New Roman" w:cs="Times New Roman"/>
                <w:sz w:val="24"/>
                <w:szCs w:val="24"/>
              </w:rPr>
            </w:pPr>
            <w:r>
              <w:rPr>
                <w:rFonts w:cs="Times New Roman" w:ascii="Times New Roman" w:hAnsi="Times New Roman"/>
                <w:i/>
                <w:iCs/>
                <w:sz w:val="24"/>
                <w:szCs w:val="24"/>
              </w:rPr>
              <w:t>Cjelodnecno i u potpunosti zavisni od pomoći</w:t>
            </w:r>
          </w:p>
        </w:tc>
        <w:tc>
          <w:tcPr>
            <w:tcW w:w="1793"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top w:w="0" w:type="dxa"/>
              <w:left w:w="49" w:type="dxa"/>
            </w:tcMar>
          </w:tcPr>
          <w:p>
            <w:pPr>
              <w:pStyle w:val="NoSpacing"/>
              <w:spacing w:lineRule="auto" w:line="254"/>
              <w:ind w:firstLine="720"/>
              <w:jc w:val="both"/>
              <w:rPr>
                <w:rFonts w:ascii="Times New Roman" w:hAnsi="Times New Roman" w:cs="Times New Roman"/>
                <w:sz w:val="24"/>
                <w:szCs w:val="24"/>
              </w:rPr>
            </w:pPr>
            <w:bookmarkStart w:id="0" w:name="_GoBack"/>
            <w:bookmarkEnd w:id="0"/>
            <w:r>
              <w:rPr>
                <w:rFonts w:cs="Times New Roman" w:ascii="Times New Roman" w:hAnsi="Times New Roman"/>
                <w:sz w:val="24"/>
                <w:szCs w:val="24"/>
              </w:rPr>
              <w:t>53</w:t>
            </w:r>
          </w:p>
        </w:tc>
      </w:tr>
      <w:tr>
        <w:trPr/>
        <w:tc>
          <w:tcPr>
            <w:tcW w:w="3306" w:type="dxa"/>
            <w:tcBorders>
              <w:left w:val="single" w:sz="6" w:space="0" w:color="000001"/>
              <w:bottom w:val="single" w:sz="6" w:space="0" w:color="000001"/>
              <w:insideH w:val="single" w:sz="6" w:space="0" w:color="000001"/>
            </w:tcBorders>
            <w:shd w:fill="auto" w:val="clear"/>
            <w:tcMar>
              <w:top w:w="0" w:type="dxa"/>
              <w:left w:w="49" w:type="dxa"/>
              <w:right w:w="0" w:type="dxa"/>
            </w:tcMar>
          </w:tcPr>
          <w:p>
            <w:pPr>
              <w:pStyle w:val="NoSpacing"/>
              <w:spacing w:lineRule="auto" w:line="254"/>
              <w:jc w:val="both"/>
              <w:rPr>
                <w:rFonts w:ascii="Times New Roman" w:hAnsi="Times New Roman" w:cs="Times New Roman"/>
                <w:sz w:val="24"/>
                <w:szCs w:val="24"/>
              </w:rPr>
            </w:pPr>
            <w:r>
              <w:rPr>
                <w:rFonts w:cs="Times New Roman" w:ascii="Times New Roman" w:hAnsi="Times New Roman"/>
                <w:i/>
                <w:iCs/>
                <w:sz w:val="24"/>
                <w:szCs w:val="24"/>
              </w:rPr>
              <w:t>Djelimično zavisni od pomoći</w:t>
            </w:r>
          </w:p>
        </w:tc>
        <w:tc>
          <w:tcPr>
            <w:tcW w:w="1793"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top w:w="0" w:type="dxa"/>
              <w:left w:w="49" w:type="dxa"/>
            </w:tcMar>
          </w:tcPr>
          <w:p>
            <w:pPr>
              <w:pStyle w:val="NoSpacing"/>
              <w:spacing w:lineRule="auto" w:line="254"/>
              <w:ind w:firstLine="720"/>
              <w:jc w:val="both"/>
              <w:rPr>
                <w:rFonts w:ascii="Times New Roman" w:hAnsi="Times New Roman" w:cs="Times New Roman"/>
                <w:sz w:val="24"/>
                <w:szCs w:val="24"/>
              </w:rPr>
            </w:pPr>
            <w:r>
              <w:rPr>
                <w:rFonts w:cs="Times New Roman" w:ascii="Times New Roman" w:hAnsi="Times New Roman"/>
                <w:sz w:val="24"/>
                <w:szCs w:val="24"/>
              </w:rPr>
              <w:t>60</w:t>
            </w:r>
          </w:p>
        </w:tc>
      </w:tr>
      <w:tr>
        <w:trPr/>
        <w:tc>
          <w:tcPr>
            <w:tcW w:w="3306" w:type="dxa"/>
            <w:tcBorders>
              <w:left w:val="single" w:sz="6" w:space="0" w:color="000001"/>
              <w:bottom w:val="single" w:sz="6" w:space="0" w:color="000001"/>
              <w:insideH w:val="single" w:sz="6" w:space="0" w:color="000001"/>
            </w:tcBorders>
            <w:shd w:fill="auto" w:val="clear"/>
            <w:tcMar>
              <w:top w:w="0" w:type="dxa"/>
              <w:left w:w="49" w:type="dxa"/>
              <w:right w:w="0" w:type="dxa"/>
            </w:tcMar>
          </w:tcPr>
          <w:p>
            <w:pPr>
              <w:pStyle w:val="NoSpacing"/>
              <w:spacing w:lineRule="auto" w:line="254"/>
              <w:ind w:firstLine="720"/>
              <w:rPr>
                <w:rFonts w:ascii="Times New Roman" w:hAnsi="Times New Roman" w:cs="Times New Roman"/>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rPr>
              <w:t>UKUPNO:</w:t>
            </w:r>
          </w:p>
        </w:tc>
        <w:tc>
          <w:tcPr>
            <w:tcW w:w="1793"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top w:w="0" w:type="dxa"/>
              <w:left w:w="49" w:type="dxa"/>
            </w:tcMar>
          </w:tcPr>
          <w:p>
            <w:pPr>
              <w:pStyle w:val="NoSpacing"/>
              <w:spacing w:lineRule="auto" w:line="254"/>
              <w:ind w:firstLine="720"/>
              <w:jc w:val="both"/>
              <w:rPr>
                <w:rFonts w:ascii="Times New Roman" w:hAnsi="Times New Roman" w:cs="Times New Roman"/>
                <w:sz w:val="24"/>
                <w:szCs w:val="24"/>
              </w:rPr>
            </w:pPr>
            <w:r>
              <w:rPr>
                <w:rFonts w:cs="Times New Roman" w:ascii="Times New Roman" w:hAnsi="Times New Roman"/>
                <w:sz w:val="24"/>
                <w:szCs w:val="24"/>
              </w:rPr>
              <w:t>113</w:t>
            </w:r>
          </w:p>
        </w:tc>
      </w:tr>
    </w:tbl>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 xml:space="preserve">Odluke komisije donesene po zahtjevu za ostvarivanje prava novčanu pomoć održane na tim sjednicama vidljive su u tabeli broj. 3 </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br/>
        <w:t>Tabela br. 3</w:t>
      </w:r>
    </w:p>
    <w:tbl>
      <w:tblPr>
        <w:tblW w:w="5100" w:type="dxa"/>
        <w:jc w:val="left"/>
        <w:tblInd w:w="-3"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7" w:type="dxa"/>
          <w:left w:w="49" w:type="dxa"/>
          <w:bottom w:w="57" w:type="dxa"/>
          <w:right w:w="57" w:type="dxa"/>
        </w:tblCellMar>
        <w:tblLook w:firstRow="1" w:noVBand="1" w:lastRow="0" w:firstColumn="1" w:lastColumn="0" w:noHBand="0" w:val="04a0"/>
      </w:tblPr>
      <w:tblGrid>
        <w:gridCol w:w="3245"/>
        <w:gridCol w:w="1854"/>
      </w:tblGrid>
      <w:tr>
        <w:trPr/>
        <w:tc>
          <w:tcPr>
            <w:tcW w:w="509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9" w:type="dxa"/>
            </w:tcMar>
          </w:tcPr>
          <w:p>
            <w:pPr>
              <w:pStyle w:val="NoSpacing"/>
              <w:spacing w:lineRule="auto" w:line="254"/>
              <w:ind w:firstLine="720"/>
              <w:jc w:val="both"/>
              <w:rPr>
                <w:rFonts w:ascii="Times New Roman" w:hAnsi="Times New Roman" w:cs="Times New Roman"/>
                <w:sz w:val="24"/>
                <w:szCs w:val="24"/>
              </w:rPr>
            </w:pPr>
            <w:r>
              <w:rPr>
                <w:rFonts w:cs="Times New Roman" w:ascii="Times New Roman" w:hAnsi="Times New Roman"/>
                <w:b/>
                <w:bCs/>
                <w:i/>
                <w:iCs/>
                <w:sz w:val="24"/>
                <w:szCs w:val="24"/>
              </w:rPr>
              <w:t>Zahtjev za novčanu pomoć</w:t>
            </w:r>
          </w:p>
        </w:tc>
      </w:tr>
      <w:tr>
        <w:trPr/>
        <w:tc>
          <w:tcPr>
            <w:tcW w:w="3245" w:type="dxa"/>
            <w:tcBorders>
              <w:left w:val="single" w:sz="6" w:space="0" w:color="000001"/>
              <w:bottom w:val="single" w:sz="6" w:space="0" w:color="000001"/>
              <w:insideH w:val="single" w:sz="6" w:space="0" w:color="000001"/>
            </w:tcBorders>
            <w:shd w:fill="auto" w:val="clear"/>
            <w:tcMar>
              <w:top w:w="0" w:type="dxa"/>
              <w:left w:w="49" w:type="dxa"/>
              <w:right w:w="0" w:type="dxa"/>
            </w:tcMar>
          </w:tcPr>
          <w:p>
            <w:pPr>
              <w:pStyle w:val="NoSpacing"/>
              <w:spacing w:lineRule="auto" w:line="254"/>
              <w:ind w:firstLine="720"/>
              <w:jc w:val="center"/>
              <w:rPr>
                <w:rFonts w:ascii="Times New Roman" w:hAnsi="Times New Roman" w:cs="Times New Roman"/>
                <w:sz w:val="24"/>
                <w:szCs w:val="24"/>
              </w:rPr>
            </w:pPr>
            <w:r>
              <w:rPr>
                <w:rFonts w:cs="Times New Roman" w:ascii="Times New Roman" w:hAnsi="Times New Roman"/>
                <w:i/>
                <w:iCs/>
                <w:sz w:val="24"/>
                <w:szCs w:val="24"/>
              </w:rPr>
              <w:t>Nesposoban za rad</w:t>
            </w:r>
          </w:p>
        </w:tc>
        <w:tc>
          <w:tcPr>
            <w:tcW w:w="1854"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top w:w="0" w:type="dxa"/>
              <w:left w:w="49" w:type="dxa"/>
            </w:tcMar>
          </w:tcPr>
          <w:p>
            <w:pPr>
              <w:pStyle w:val="NoSpacing"/>
              <w:spacing w:lineRule="auto" w:line="254"/>
              <w:ind w:firstLine="720"/>
              <w:jc w:val="both"/>
              <w:rPr>
                <w:rFonts w:ascii="Times New Roman" w:hAnsi="Times New Roman" w:cs="Times New Roman"/>
                <w:sz w:val="24"/>
                <w:szCs w:val="24"/>
              </w:rPr>
            </w:pPr>
            <w:r>
              <w:rPr>
                <w:rFonts w:cs="Times New Roman" w:ascii="Times New Roman" w:hAnsi="Times New Roman"/>
                <w:sz w:val="24"/>
                <w:szCs w:val="24"/>
              </w:rPr>
              <w:t>8</w:t>
            </w:r>
          </w:p>
        </w:tc>
      </w:tr>
      <w:tr>
        <w:trPr/>
        <w:tc>
          <w:tcPr>
            <w:tcW w:w="3245" w:type="dxa"/>
            <w:tcBorders>
              <w:left w:val="single" w:sz="6" w:space="0" w:color="000001"/>
              <w:bottom w:val="single" w:sz="6" w:space="0" w:color="000001"/>
              <w:insideH w:val="single" w:sz="6" w:space="0" w:color="000001"/>
            </w:tcBorders>
            <w:shd w:fill="auto" w:val="clear"/>
            <w:tcMar>
              <w:top w:w="0" w:type="dxa"/>
              <w:left w:w="49" w:type="dxa"/>
              <w:right w:w="0" w:type="dxa"/>
            </w:tcMar>
          </w:tcPr>
          <w:p>
            <w:pPr>
              <w:pStyle w:val="NoSpacing"/>
              <w:spacing w:lineRule="auto" w:line="254"/>
              <w:ind w:firstLine="720"/>
              <w:jc w:val="center"/>
              <w:rPr>
                <w:rFonts w:ascii="Times New Roman" w:hAnsi="Times New Roman" w:cs="Times New Roman"/>
                <w:sz w:val="24"/>
                <w:szCs w:val="24"/>
              </w:rPr>
            </w:pPr>
            <w:r>
              <w:rPr>
                <w:rFonts w:cs="Times New Roman" w:ascii="Times New Roman" w:hAnsi="Times New Roman"/>
                <w:i/>
                <w:iCs/>
                <w:sz w:val="24"/>
                <w:szCs w:val="24"/>
              </w:rPr>
              <w:t>Sposoban za rad</w:t>
            </w:r>
          </w:p>
        </w:tc>
        <w:tc>
          <w:tcPr>
            <w:tcW w:w="1854"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top w:w="0" w:type="dxa"/>
              <w:left w:w="49" w:type="dxa"/>
            </w:tcMar>
          </w:tcPr>
          <w:p>
            <w:pPr>
              <w:pStyle w:val="NoSpacing"/>
              <w:spacing w:lineRule="auto" w:line="254"/>
              <w:ind w:firstLine="720"/>
              <w:jc w:val="both"/>
              <w:rPr>
                <w:rFonts w:ascii="Times New Roman" w:hAnsi="Times New Roman" w:cs="Times New Roman"/>
                <w:sz w:val="24"/>
                <w:szCs w:val="24"/>
              </w:rPr>
            </w:pPr>
            <w:r>
              <w:rPr>
                <w:rFonts w:cs="Times New Roman" w:ascii="Times New Roman" w:hAnsi="Times New Roman"/>
                <w:sz w:val="24"/>
                <w:szCs w:val="24"/>
              </w:rPr>
              <w:t>10</w:t>
            </w:r>
          </w:p>
        </w:tc>
      </w:tr>
      <w:tr>
        <w:trPr/>
        <w:tc>
          <w:tcPr>
            <w:tcW w:w="3245" w:type="dxa"/>
            <w:tcBorders>
              <w:left w:val="single" w:sz="6" w:space="0" w:color="000001"/>
              <w:bottom w:val="single" w:sz="6" w:space="0" w:color="000001"/>
              <w:insideH w:val="single" w:sz="6" w:space="0" w:color="000001"/>
            </w:tcBorders>
            <w:shd w:fill="auto" w:val="clear"/>
            <w:tcMar>
              <w:top w:w="0" w:type="dxa"/>
              <w:left w:w="49" w:type="dxa"/>
              <w:right w:w="0" w:type="dxa"/>
            </w:tcMar>
          </w:tcPr>
          <w:p>
            <w:pPr>
              <w:pStyle w:val="NoSpacing"/>
              <w:spacing w:lineRule="auto" w:line="254"/>
              <w:ind w:firstLine="720"/>
              <w:jc w:val="center"/>
              <w:rPr>
                <w:rFonts w:ascii="Times New Roman" w:hAnsi="Times New Roman" w:cs="Times New Roman"/>
                <w:sz w:val="24"/>
                <w:szCs w:val="24"/>
              </w:rPr>
            </w:pPr>
            <w:r>
              <w:rPr>
                <w:rFonts w:cs="Times New Roman" w:ascii="Times New Roman" w:hAnsi="Times New Roman"/>
                <w:sz w:val="24"/>
                <w:szCs w:val="24"/>
              </w:rPr>
              <w:t>UKUPNO:</w:t>
            </w:r>
          </w:p>
        </w:tc>
        <w:tc>
          <w:tcPr>
            <w:tcW w:w="1854"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top w:w="0" w:type="dxa"/>
              <w:left w:w="49" w:type="dxa"/>
            </w:tcMar>
          </w:tcPr>
          <w:p>
            <w:pPr>
              <w:pStyle w:val="NoSpacing"/>
              <w:spacing w:lineRule="auto" w:line="254"/>
              <w:ind w:firstLine="720"/>
              <w:jc w:val="both"/>
              <w:rPr>
                <w:rFonts w:ascii="Times New Roman" w:hAnsi="Times New Roman" w:cs="Times New Roman"/>
                <w:sz w:val="24"/>
                <w:szCs w:val="24"/>
              </w:rPr>
            </w:pPr>
            <w:r>
              <w:rPr>
                <w:rFonts w:cs="Times New Roman" w:ascii="Times New Roman" w:hAnsi="Times New Roman"/>
                <w:sz w:val="24"/>
                <w:szCs w:val="24"/>
              </w:rPr>
              <w:t>18</w:t>
            </w:r>
          </w:p>
        </w:tc>
      </w:tr>
    </w:tbl>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lang w:val="sr-Latn-RS"/>
        </w:rPr>
        <w:t xml:space="preserve">         </w:t>
      </w:r>
      <w:r>
        <w:rPr>
          <w:rFonts w:cs="Times New Roman" w:ascii="Times New Roman" w:hAnsi="Times New Roman"/>
          <w:sz w:val="24"/>
          <w:szCs w:val="24"/>
        </w:rPr>
        <w:t>U izvještajnom periodu pravo na dodatak na pomoć i njegu drugogg lica, zaključno sa 31.12.2020. godine ostvarivalo je 557. Od tog broja 178 korisnika spada u 1. kategoriju kao lica koja su cjelodnevno i u potpunosti zavisni od pomoći i njege drugog lica i ostvaruju ovo pravo u iznosu od od 181.20 KM i 379 korisnika spada u 2. kategoriju kao lica koja su djelimično zavisna od pomoći i njegeg drugog lica i ostvaruju pravo u iznosu od 90.60 KM.</w:t>
      </w:r>
    </w:p>
    <w:p>
      <w:pPr>
        <w:pStyle w:val="NoSpacing"/>
        <w:ind w:firstLine="720"/>
        <w:jc w:val="both"/>
        <w:rPr>
          <w:rFonts w:ascii="Times New Roman" w:hAnsi="Times New Roman" w:cs="Times New Roman"/>
          <w:sz w:val="24"/>
          <w:szCs w:val="24"/>
          <w:lang w:val="sr-RS"/>
        </w:rPr>
      </w:pPr>
      <w:r>
        <w:rPr>
          <w:rFonts w:cs="Times New Roman" w:ascii="Times New Roman" w:hAnsi="Times New Roman"/>
          <w:sz w:val="24"/>
          <w:szCs w:val="24"/>
          <w:lang w:val="sr-Latn-RS"/>
        </w:rPr>
        <w:t xml:space="preserve">        </w:t>
      </w:r>
      <w:r>
        <w:rPr>
          <w:rFonts w:cs="Times New Roman" w:ascii="Times New Roman" w:hAnsi="Times New Roman"/>
          <w:sz w:val="24"/>
          <w:szCs w:val="24"/>
        </w:rPr>
        <w:t>U periodu od 01.01.2020. godine pa do 31.12</w:t>
      </w:r>
      <w:r>
        <w:rPr>
          <w:rFonts w:cs="Times New Roman" w:ascii="Times New Roman" w:hAnsi="Times New Roman"/>
          <w:sz w:val="24"/>
          <w:szCs w:val="24"/>
          <w:lang w:val="sr-Latn-RS"/>
        </w:rPr>
        <w:t xml:space="preserve">.2020. </w:t>
      </w:r>
      <w:r>
        <w:rPr>
          <w:rFonts w:cs="Times New Roman" w:ascii="Times New Roman" w:hAnsi="Times New Roman"/>
          <w:sz w:val="24"/>
          <w:szCs w:val="24"/>
          <w:lang w:val="sr-RS"/>
        </w:rPr>
        <w:t>godine p</w:t>
      </w:r>
      <w:r>
        <w:rPr>
          <w:rFonts w:cs="Times New Roman" w:ascii="Times New Roman" w:hAnsi="Times New Roman"/>
          <w:sz w:val="24"/>
          <w:szCs w:val="24"/>
        </w:rPr>
        <w:t>restalo je trajanje prava na dodatak na pomoć i njegu drugog lica za 119 korisnika. U tabeli broj 4 prikazani su razlozi prestanka navedenog prava.</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t>Tabela br. 4</w:t>
      </w:r>
    </w:p>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r>
    </w:p>
    <w:tbl>
      <w:tblPr>
        <w:tblW w:w="6795" w:type="dxa"/>
        <w:jc w:val="left"/>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firstRow="1" w:noVBand="1" w:lastRow="0" w:firstColumn="1" w:lastColumn="0" w:noHBand="0" w:val="04a0"/>
      </w:tblPr>
      <w:tblGrid>
        <w:gridCol w:w="4810"/>
        <w:gridCol w:w="1984"/>
      </w:tblGrid>
      <w:tr>
        <w:trPr/>
        <w:tc>
          <w:tcPr>
            <w:tcW w:w="4810" w:type="dxa"/>
            <w:tcBorders>
              <w:top w:val="single" w:sz="6" w:space="0" w:color="000001"/>
              <w:left w:val="single" w:sz="6" w:space="0" w:color="000001"/>
              <w:bottom w:val="single" w:sz="6" w:space="0" w:color="000001"/>
              <w:insideH w:val="single" w:sz="6" w:space="0" w:color="000001"/>
            </w:tcBorders>
            <w:shd w:fill="auto" w:val="clear"/>
            <w:tcMar>
              <w:left w:w="49" w:type="dxa"/>
            </w:tcMar>
          </w:tcPr>
          <w:p>
            <w:pPr>
              <w:pStyle w:val="NoSpacing"/>
              <w:spacing w:lineRule="auto" w:line="254"/>
              <w:ind w:firstLine="720"/>
              <w:jc w:val="center"/>
              <w:rPr>
                <w:rFonts w:ascii="Times New Roman" w:hAnsi="Times New Roman" w:cs="Times New Roman"/>
                <w:sz w:val="24"/>
                <w:szCs w:val="24"/>
              </w:rPr>
            </w:pPr>
            <w:r>
              <w:rPr>
                <w:rFonts w:cs="Times New Roman" w:ascii="Times New Roman" w:hAnsi="Times New Roman"/>
                <w:i/>
                <w:iCs/>
                <w:sz w:val="24"/>
                <w:szCs w:val="24"/>
              </w:rPr>
              <w:t>Razlozi prestanka prava</w:t>
            </w:r>
          </w:p>
        </w:tc>
        <w:tc>
          <w:tcPr>
            <w:tcW w:w="198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49" w:type="dxa"/>
              <w:right w:w="57" w:type="dxa"/>
            </w:tcMar>
          </w:tcPr>
          <w:p>
            <w:pPr>
              <w:pStyle w:val="Normal"/>
              <w:rPr>
                <w:rFonts w:ascii="Times New Roman" w:hAnsi="Times New Roman" w:cs="Times New Roman"/>
              </w:rPr>
            </w:pPr>
            <w:r>
              <w:rPr>
                <w:rFonts w:cs="Times New Roman" w:ascii="Times New Roman" w:hAnsi="Times New Roman"/>
              </w:rPr>
            </w:r>
          </w:p>
        </w:tc>
      </w:tr>
      <w:tr>
        <w:trPr/>
        <w:tc>
          <w:tcPr>
            <w:tcW w:w="4810" w:type="dxa"/>
            <w:tcBorders>
              <w:left w:val="single" w:sz="6" w:space="0" w:color="000001"/>
              <w:bottom w:val="single" w:sz="6" w:space="0" w:color="000001"/>
              <w:insideH w:val="single" w:sz="6" w:space="0" w:color="000001"/>
            </w:tcBorders>
            <w:shd w:fill="auto" w:val="clear"/>
            <w:tcMar>
              <w:top w:w="0" w:type="dxa"/>
              <w:left w:w="49" w:type="dxa"/>
            </w:tcMar>
          </w:tcPr>
          <w:p>
            <w:pPr>
              <w:pStyle w:val="NoSpacing"/>
              <w:spacing w:lineRule="auto" w:line="254"/>
              <w:ind w:firstLine="720"/>
              <w:jc w:val="center"/>
              <w:rPr>
                <w:rFonts w:ascii="Times New Roman" w:hAnsi="Times New Roman" w:cs="Times New Roman"/>
                <w:sz w:val="24"/>
                <w:szCs w:val="24"/>
              </w:rPr>
            </w:pPr>
            <w:r>
              <w:rPr>
                <w:rFonts w:cs="Times New Roman" w:ascii="Times New Roman" w:hAnsi="Times New Roman"/>
                <w:i/>
                <w:iCs/>
                <w:sz w:val="24"/>
                <w:szCs w:val="24"/>
              </w:rPr>
              <w:t>Smrt korisnika</w:t>
            </w:r>
          </w:p>
        </w:tc>
        <w:tc>
          <w:tcPr>
            <w:tcW w:w="1984"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top w:w="0" w:type="dxa"/>
              <w:left w:w="49" w:type="dxa"/>
              <w:right w:w="57" w:type="dxa"/>
            </w:tcMar>
          </w:tcPr>
          <w:p>
            <w:pPr>
              <w:pStyle w:val="NoSpacing"/>
              <w:spacing w:lineRule="auto" w:line="254"/>
              <w:ind w:firstLine="720"/>
              <w:jc w:val="both"/>
              <w:rPr>
                <w:rFonts w:ascii="Times New Roman" w:hAnsi="Times New Roman" w:cs="Times New Roman"/>
                <w:sz w:val="24"/>
                <w:szCs w:val="24"/>
              </w:rPr>
            </w:pPr>
            <w:r>
              <w:rPr>
                <w:rFonts w:cs="Times New Roman" w:ascii="Times New Roman" w:hAnsi="Times New Roman"/>
                <w:sz w:val="24"/>
                <w:szCs w:val="24"/>
              </w:rPr>
              <w:t>115</w:t>
            </w:r>
          </w:p>
        </w:tc>
      </w:tr>
      <w:tr>
        <w:trPr/>
        <w:tc>
          <w:tcPr>
            <w:tcW w:w="4810" w:type="dxa"/>
            <w:tcBorders>
              <w:left w:val="single" w:sz="6" w:space="0" w:color="000001"/>
              <w:bottom w:val="single" w:sz="6" w:space="0" w:color="000001"/>
              <w:insideH w:val="single" w:sz="6" w:space="0" w:color="000001"/>
            </w:tcBorders>
            <w:shd w:fill="auto" w:val="clear"/>
            <w:tcMar>
              <w:top w:w="0" w:type="dxa"/>
              <w:left w:w="49" w:type="dxa"/>
            </w:tcMar>
          </w:tcPr>
          <w:p>
            <w:pPr>
              <w:pStyle w:val="NoSpacing"/>
              <w:spacing w:lineRule="auto" w:line="254"/>
              <w:ind w:firstLine="720"/>
              <w:jc w:val="center"/>
              <w:rPr>
                <w:rFonts w:ascii="Times New Roman" w:hAnsi="Times New Roman" w:cs="Times New Roman"/>
                <w:sz w:val="24"/>
                <w:szCs w:val="24"/>
              </w:rPr>
            </w:pPr>
            <w:r>
              <w:rPr>
                <w:rFonts w:cs="Times New Roman" w:ascii="Times New Roman" w:hAnsi="Times New Roman"/>
                <w:i/>
                <w:iCs/>
                <w:sz w:val="24"/>
                <w:szCs w:val="24"/>
              </w:rPr>
              <w:t>Promjena opštine prebivališta</w:t>
            </w:r>
          </w:p>
        </w:tc>
        <w:tc>
          <w:tcPr>
            <w:tcW w:w="1984"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top w:w="0" w:type="dxa"/>
              <w:left w:w="49" w:type="dxa"/>
              <w:right w:w="57" w:type="dxa"/>
            </w:tcMar>
          </w:tcPr>
          <w:p>
            <w:pPr>
              <w:pStyle w:val="NoSpacing"/>
              <w:spacing w:lineRule="auto" w:line="254"/>
              <w:ind w:firstLine="720"/>
              <w:rPr>
                <w:rFonts w:ascii="Times New Roman" w:hAnsi="Times New Roman" w:cs="Times New Roman"/>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rPr>
              <w:t>1</w:t>
            </w:r>
          </w:p>
        </w:tc>
      </w:tr>
      <w:tr>
        <w:trPr/>
        <w:tc>
          <w:tcPr>
            <w:tcW w:w="4810" w:type="dxa"/>
            <w:tcBorders>
              <w:left w:val="single" w:sz="6" w:space="0" w:color="000001"/>
              <w:bottom w:val="single" w:sz="6" w:space="0" w:color="000001"/>
              <w:insideH w:val="single" w:sz="6" w:space="0" w:color="000001"/>
            </w:tcBorders>
            <w:shd w:fill="auto" w:val="clear"/>
            <w:tcMar>
              <w:top w:w="0" w:type="dxa"/>
              <w:left w:w="49" w:type="dxa"/>
            </w:tcMar>
          </w:tcPr>
          <w:p>
            <w:pPr>
              <w:pStyle w:val="NoSpacing"/>
              <w:spacing w:lineRule="auto" w:line="254"/>
              <w:ind w:firstLine="720"/>
              <w:jc w:val="center"/>
              <w:rPr>
                <w:rFonts w:ascii="Times New Roman" w:hAnsi="Times New Roman" w:cs="Times New Roman"/>
                <w:sz w:val="24"/>
                <w:szCs w:val="24"/>
              </w:rPr>
            </w:pPr>
            <w:r>
              <w:rPr>
                <w:rFonts w:cs="Times New Roman" w:ascii="Times New Roman" w:hAnsi="Times New Roman"/>
                <w:i/>
                <w:iCs/>
                <w:sz w:val="24"/>
                <w:szCs w:val="24"/>
              </w:rPr>
              <w:t>Smještaj korisnika u ustanovu socijalne zaštite</w:t>
            </w:r>
          </w:p>
        </w:tc>
        <w:tc>
          <w:tcPr>
            <w:tcW w:w="1984"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top w:w="0" w:type="dxa"/>
              <w:left w:w="49" w:type="dxa"/>
              <w:right w:w="57" w:type="dxa"/>
            </w:tcMar>
          </w:tcPr>
          <w:p>
            <w:pPr>
              <w:pStyle w:val="Normal"/>
              <w:rPr>
                <w:rFonts w:ascii="Times New Roman" w:hAnsi="Times New Roman" w:cs="Times New Roman"/>
              </w:rPr>
            </w:pPr>
            <w:r>
              <w:rPr>
                <w:rFonts w:cs="Times New Roman" w:ascii="Times New Roman" w:hAnsi="Times New Roman"/>
              </w:rPr>
            </w:r>
          </w:p>
        </w:tc>
      </w:tr>
      <w:tr>
        <w:trPr/>
        <w:tc>
          <w:tcPr>
            <w:tcW w:w="4810" w:type="dxa"/>
            <w:tcBorders>
              <w:left w:val="single" w:sz="6" w:space="0" w:color="000001"/>
              <w:bottom w:val="single" w:sz="6" w:space="0" w:color="000001"/>
              <w:insideH w:val="single" w:sz="6" w:space="0" w:color="000001"/>
            </w:tcBorders>
            <w:shd w:fill="auto" w:val="clear"/>
            <w:tcMar>
              <w:top w:w="0" w:type="dxa"/>
              <w:left w:w="49" w:type="dxa"/>
            </w:tcMar>
          </w:tcPr>
          <w:p>
            <w:pPr>
              <w:pStyle w:val="NoSpacing"/>
              <w:spacing w:lineRule="auto" w:line="254"/>
              <w:ind w:firstLine="720"/>
              <w:jc w:val="center"/>
              <w:rPr>
                <w:rFonts w:ascii="Times New Roman" w:hAnsi="Times New Roman" w:cs="Times New Roman"/>
                <w:sz w:val="24"/>
                <w:szCs w:val="24"/>
              </w:rPr>
            </w:pPr>
            <w:r>
              <w:rPr>
                <w:rFonts w:cs="Times New Roman" w:ascii="Times New Roman" w:hAnsi="Times New Roman"/>
                <w:i/>
                <w:iCs/>
                <w:sz w:val="24"/>
                <w:szCs w:val="24"/>
              </w:rPr>
              <w:t>Prestanak uslova za trajanje prava</w:t>
            </w:r>
          </w:p>
        </w:tc>
        <w:tc>
          <w:tcPr>
            <w:tcW w:w="1984"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top w:w="0" w:type="dxa"/>
              <w:left w:w="49" w:type="dxa"/>
              <w:right w:w="57" w:type="dxa"/>
            </w:tcMar>
          </w:tcPr>
          <w:p>
            <w:pPr>
              <w:pStyle w:val="NoSpacing"/>
              <w:spacing w:lineRule="auto" w:line="254"/>
              <w:ind w:firstLine="720"/>
              <w:jc w:val="both"/>
              <w:rPr>
                <w:rFonts w:ascii="Times New Roman" w:hAnsi="Times New Roman" w:cs="Times New Roman"/>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rPr>
              <w:t>3</w:t>
            </w:r>
          </w:p>
        </w:tc>
      </w:tr>
      <w:tr>
        <w:trPr/>
        <w:tc>
          <w:tcPr>
            <w:tcW w:w="4810" w:type="dxa"/>
            <w:tcBorders>
              <w:left w:val="single" w:sz="6" w:space="0" w:color="000001"/>
              <w:bottom w:val="single" w:sz="6" w:space="0" w:color="000001"/>
              <w:insideH w:val="single" w:sz="6" w:space="0" w:color="000001"/>
            </w:tcBorders>
            <w:shd w:fill="auto" w:val="clear"/>
            <w:tcMar>
              <w:top w:w="0" w:type="dxa"/>
              <w:left w:w="49" w:type="dxa"/>
            </w:tcMar>
          </w:tcPr>
          <w:p>
            <w:pPr>
              <w:pStyle w:val="NoSpacing"/>
              <w:spacing w:lineRule="auto" w:line="254"/>
              <w:ind w:firstLine="720"/>
              <w:jc w:val="center"/>
              <w:rPr>
                <w:rFonts w:ascii="Times New Roman" w:hAnsi="Times New Roman" w:cs="Times New Roman"/>
                <w:sz w:val="24"/>
                <w:szCs w:val="24"/>
              </w:rPr>
            </w:pPr>
            <w:r>
              <w:rPr>
                <w:rFonts w:cs="Times New Roman" w:ascii="Times New Roman" w:hAnsi="Times New Roman"/>
                <w:sz w:val="24"/>
                <w:szCs w:val="24"/>
              </w:rPr>
              <w:t>UKUPNO</w:t>
            </w:r>
          </w:p>
        </w:tc>
        <w:tc>
          <w:tcPr>
            <w:tcW w:w="1984" w:type="dxa"/>
            <w:tcBorders>
              <w:left w:val="single" w:sz="6" w:space="0" w:color="000001"/>
              <w:bottom w:val="single" w:sz="6" w:space="0" w:color="000001"/>
              <w:right w:val="single" w:sz="6" w:space="0" w:color="000001"/>
              <w:insideH w:val="single" w:sz="6" w:space="0" w:color="000001"/>
              <w:insideV w:val="single" w:sz="6" w:space="0" w:color="000001"/>
            </w:tcBorders>
            <w:shd w:fill="auto" w:val="clear"/>
            <w:tcMar>
              <w:top w:w="0" w:type="dxa"/>
              <w:left w:w="49" w:type="dxa"/>
              <w:right w:w="57" w:type="dxa"/>
            </w:tcMar>
          </w:tcPr>
          <w:p>
            <w:pPr>
              <w:pStyle w:val="NoSpacing"/>
              <w:spacing w:lineRule="auto" w:line="254"/>
              <w:ind w:firstLine="720"/>
              <w:jc w:val="both"/>
              <w:rPr>
                <w:rFonts w:ascii="Times New Roman" w:hAnsi="Times New Roman" w:cs="Times New Roman"/>
                <w:sz w:val="24"/>
                <w:szCs w:val="24"/>
              </w:rPr>
            </w:pPr>
            <w:r>
              <w:rPr>
                <w:rFonts w:cs="Times New Roman" w:ascii="Times New Roman" w:hAnsi="Times New Roman"/>
                <w:sz w:val="24"/>
                <w:szCs w:val="24"/>
              </w:rPr>
              <w:t>119</w:t>
            </w:r>
          </w:p>
        </w:tc>
      </w:tr>
    </w:tbl>
    <w:p>
      <w:pPr>
        <w:pStyle w:val="NoSpacing"/>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rPr/>
      </w:pPr>
      <w:r>
        <w:rPr/>
      </w:r>
    </w:p>
    <w:sectPr>
      <w:type w:val="nextPage"/>
      <w:pgSz w:w="12240" w:h="15840"/>
      <w:pgMar w:left="1440" w:right="1440" w:header="0" w:top="1440" w:footer="0"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egoe UI">
    <w:charset w:val="ee"/>
    <w:family w:val="roman"/>
    <w:pitch w:val="variable"/>
  </w:font>
  <w:font w:name="Liberation Sans">
    <w:altName w:val="Arial"/>
    <w:charset w:val="ee"/>
    <w:family w:val="swiss"/>
    <w:pitch w:val="variable"/>
  </w:font>
  <w:font w:name="Times New Roman">
    <w:charset w:val="ee"/>
    <w:family w:val="roman"/>
    <w:pitch w:val="variable"/>
  </w:font>
</w:fonts>
</file>

<file path=word/settings.xml><?xml version="1.0" encoding="utf-8"?>
<w:settings xmlns:w="http://schemas.openxmlformats.org/wordprocessingml/2006/main">
  <w:zoom w:percent="100"/>
  <w:defaultTabStop w:val="720"/>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6695b"/>
    <w:pPr>
      <w:widowControl w:val="false"/>
      <w:suppressAutoHyphens w:val="true"/>
      <w:bidi w:val="0"/>
      <w:spacing w:lineRule="auto" w:line="240" w:before="0" w:after="0"/>
      <w:jc w:val="left"/>
    </w:pPr>
    <w:rPr>
      <w:rFonts w:ascii="Liberation Serif" w:hAnsi="Liberation Serif" w:eastAsia="SimSun" w:cs="Arial"/>
      <w:color w:val="auto"/>
      <w:sz w:val="24"/>
      <w:szCs w:val="24"/>
      <w:lang w:val="bs-BA" w:eastAsia="zh-CN" w:bidi="hi-IN"/>
    </w:rPr>
  </w:style>
  <w:style w:type="character" w:styleId="DefaultParagraphFont" w:default="1">
    <w:name w:val="Default Paragraph Font"/>
    <w:uiPriority w:val="1"/>
    <w:semiHidden/>
    <w:unhideWhenUsed/>
    <w:qFormat/>
    <w:rPr/>
  </w:style>
  <w:style w:type="character" w:styleId="Style14">
    <w:name w:val="Интернет веза"/>
    <w:semiHidden/>
    <w:unhideWhenUsed/>
    <w:rsid w:val="00b6695b"/>
    <w:rPr>
      <w:color w:val="000080"/>
      <w:u w:val="single"/>
    </w:rPr>
  </w:style>
  <w:style w:type="character" w:styleId="BalloonTextChar" w:customStyle="1">
    <w:name w:val="Balloon Text Char"/>
    <w:basedOn w:val="DefaultParagraphFont"/>
    <w:link w:val="BalloonText"/>
    <w:uiPriority w:val="99"/>
    <w:semiHidden/>
    <w:qFormat/>
    <w:rsid w:val="00b6695b"/>
    <w:rPr>
      <w:rFonts w:ascii="Segoe UI" w:hAnsi="Segoe UI" w:eastAsia="SimSun" w:cs="Mangal"/>
      <w:sz w:val="18"/>
      <w:szCs w:val="16"/>
      <w:lang w:val="bs-BA" w:eastAsia="zh-CN" w:bidi="hi-IN"/>
    </w:rPr>
  </w:style>
  <w:style w:type="paragraph" w:styleId="Style15">
    <w:name w:val="Насловљавање"/>
    <w:basedOn w:val="Normal"/>
    <w:next w:val="Style16"/>
    <w:qFormat/>
    <w:pPr>
      <w:keepNext/>
      <w:spacing w:before="240" w:after="120"/>
    </w:pPr>
    <w:rPr>
      <w:rFonts w:ascii="Liberation Sans" w:hAnsi="Liberation Sans" w:eastAsia="Microsoft YaHei" w:cs="Mangal"/>
      <w:sz w:val="28"/>
      <w:szCs w:val="28"/>
    </w:rPr>
  </w:style>
  <w:style w:type="paragraph" w:styleId="Style16">
    <w:name w:val="Body Text"/>
    <w:basedOn w:val="Normal"/>
    <w:pPr>
      <w:spacing w:lineRule="auto" w:line="288" w:before="0" w:after="140"/>
    </w:pPr>
    <w:rPr/>
  </w:style>
  <w:style w:type="paragraph" w:styleId="Style17">
    <w:name w:val="List"/>
    <w:basedOn w:val="Style16"/>
    <w:pPr/>
    <w:rPr>
      <w:rFonts w:cs="Mangal"/>
    </w:rPr>
  </w:style>
  <w:style w:type="paragraph" w:styleId="Style18">
    <w:name w:val="Caption"/>
    <w:basedOn w:val="Normal"/>
    <w:qFormat/>
    <w:pPr>
      <w:suppressLineNumbers/>
      <w:spacing w:before="120" w:after="120"/>
    </w:pPr>
    <w:rPr>
      <w:rFonts w:cs="Mangal"/>
      <w:i/>
      <w:iCs/>
      <w:sz w:val="24"/>
      <w:szCs w:val="24"/>
    </w:rPr>
  </w:style>
  <w:style w:type="paragraph" w:styleId="Style19">
    <w:name w:val="Индекс"/>
    <w:basedOn w:val="Normal"/>
    <w:qFormat/>
    <w:pPr>
      <w:suppressLineNumbers/>
    </w:pPr>
    <w:rPr>
      <w:rFonts w:cs="Mangal"/>
    </w:rPr>
  </w:style>
  <w:style w:type="paragraph" w:styleId="NoSpacing">
    <w:name w:val="No Spacing"/>
    <w:uiPriority w:val="1"/>
    <w:qFormat/>
    <w:rsid w:val="00b6695b"/>
    <w:pPr>
      <w:widowControl/>
      <w:bidi w:val="0"/>
      <w:spacing w:lineRule="auto" w:line="240" w:before="0" w:after="0"/>
      <w:jc w:val="left"/>
    </w:pPr>
    <w:rPr>
      <w:rFonts w:ascii="Calibri" w:hAnsi="Calibri" w:eastAsia="Calibri" w:cs="" w:asciiTheme="minorHAnsi" w:cstheme="minorBidi" w:eastAsiaTheme="minorHAnsi" w:hAnsiTheme="minorHAnsi"/>
      <w:color w:val="auto"/>
      <w:sz w:val="24"/>
      <w:szCs w:val="22"/>
      <w:lang w:val="en-US" w:eastAsia="en-US" w:bidi="ar-SA"/>
    </w:rPr>
  </w:style>
  <w:style w:type="paragraph" w:styleId="BalloonText">
    <w:name w:val="Balloon Text"/>
    <w:basedOn w:val="Normal"/>
    <w:link w:val="BalloonTextChar"/>
    <w:uiPriority w:val="99"/>
    <w:semiHidden/>
    <w:unhideWhenUsed/>
    <w:qFormat/>
    <w:rsid w:val="00b6695b"/>
    <w:pPr/>
    <w:rPr>
      <w:rFonts w:ascii="Segoe UI" w:hAnsi="Segoe UI" w:cs="Mangal"/>
      <w:sz w:val="18"/>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LibreOffice/5.1.5.2$Windows_x86 LibreOffice_project/7a864d8825610a8c07cfc3bc01dd4fce6a9447e5</Application>
  <Pages>5</Pages>
  <Words>1169</Words>
  <Characters>6740</Characters>
  <CharactersWithSpaces>7949</CharactersWithSpaces>
  <Paragraphs>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2021-03-23T07:09:00Z</dcterms:created>
  <dc:creator>marija pavic</dc:creator>
  <dc:description/>
  <dc:language>sr-Latn-RS</dc:language>
  <cp:lastModifiedBy/>
  <cp:lastPrinted>2021-03-23T07:18:00Z</cp:lastPrinted>
  <dcterms:modified xsi:type="dcterms:W3CDTF">2021-11-04T08:33:15Z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